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08C8D" w14:textId="77777777" w:rsidR="00863143" w:rsidRDefault="00863143">
      <w:pPr>
        <w:ind w:right="-449"/>
        <w:rPr>
          <w:rFonts w:ascii="Verdana" w:hAnsi="Verdana" w:cs="Tahoma"/>
          <w:sz w:val="20"/>
          <w:szCs w:val="18"/>
        </w:rPr>
      </w:pPr>
    </w:p>
    <w:p w14:paraId="63CCFDDF" w14:textId="77777777" w:rsidR="00863143" w:rsidRDefault="00000000">
      <w:pPr>
        <w:spacing w:after="9" w:line="259" w:lineRule="auto"/>
        <w:ind w:left="156"/>
      </w:pPr>
      <w:r>
        <w:rPr>
          <w:noProof/>
        </w:rPr>
        <mc:AlternateContent>
          <mc:Choice Requires="wpg">
            <w:drawing>
              <wp:inline distT="0" distB="0" distL="0" distR="0" wp14:anchorId="63AC327C" wp14:editId="6019BC2D">
                <wp:extent cx="942975" cy="754380"/>
                <wp:effectExtent l="0" t="0" r="9525" b="8255"/>
                <wp:docPr id="1" name="Σχήμα1"/>
                <wp:cNvGraphicFramePr/>
                <a:graphic xmlns:a="http://schemas.openxmlformats.org/drawingml/2006/main">
                  <a:graphicData uri="http://schemas.microsoft.com/office/word/2010/wordprocessingGroup">
                    <wpg:wgp>
                      <wpg:cNvGrpSpPr/>
                      <wpg:grpSpPr>
                        <a:xfrm>
                          <a:off x="0" y="0"/>
                          <a:ext cx="942840" cy="754560"/>
                          <a:chOff x="0" y="0"/>
                          <a:chExt cx="942840" cy="754560"/>
                        </a:xfrm>
                      </wpg:grpSpPr>
                      <wps:wsp>
                        <wps:cNvPr id="962883433" name="Ορθογώνιο 962883433"/>
                        <wps:cNvSpPr/>
                        <wps:spPr>
                          <a:xfrm>
                            <a:off x="200520" y="191880"/>
                            <a:ext cx="742320" cy="167040"/>
                          </a:xfrm>
                          <a:prstGeom prst="rect">
                            <a:avLst/>
                          </a:prstGeom>
                          <a:noFill/>
                          <a:ln w="0">
                            <a:noFill/>
                          </a:ln>
                        </wps:spPr>
                        <wps:style>
                          <a:lnRef idx="0">
                            <a:scrgbClr r="0" g="0" b="0"/>
                          </a:lnRef>
                          <a:fillRef idx="0">
                            <a:scrgbClr r="0" g="0" b="0"/>
                          </a:fillRef>
                          <a:effectRef idx="0">
                            <a:scrgbClr r="0" g="0" b="0"/>
                          </a:effectRef>
                          <a:fontRef idx="minor"/>
                        </wps:style>
                        <wps:txbx>
                          <w:txbxContent>
                            <w:p w14:paraId="0E2B7CD1" w14:textId="77777777" w:rsidR="00863143" w:rsidRDefault="00863143">
                              <w:pPr>
                                <w:spacing w:after="160" w:line="259" w:lineRule="auto"/>
                              </w:pPr>
                            </w:p>
                          </w:txbxContent>
                        </wps:txbx>
                        <wps:bodyPr lIns="0" tIns="0" rIns="0" bIns="0" anchor="t">
                          <a:noAutofit/>
                        </wps:bodyPr>
                      </wps:wsp>
                      <wps:wsp>
                        <wps:cNvPr id="1046654379" name="Ορθογώνιο 1046654379"/>
                        <wps:cNvSpPr/>
                        <wps:spPr>
                          <a:xfrm>
                            <a:off x="759960" y="191880"/>
                            <a:ext cx="41760" cy="167040"/>
                          </a:xfrm>
                          <a:prstGeom prst="rect">
                            <a:avLst/>
                          </a:prstGeom>
                          <a:noFill/>
                          <a:ln w="0">
                            <a:noFill/>
                          </a:ln>
                        </wps:spPr>
                        <wps:style>
                          <a:lnRef idx="0">
                            <a:scrgbClr r="0" g="0" b="0"/>
                          </a:lnRef>
                          <a:fillRef idx="0">
                            <a:scrgbClr r="0" g="0" b="0"/>
                          </a:fillRef>
                          <a:effectRef idx="0">
                            <a:scrgbClr r="0" g="0" b="0"/>
                          </a:effectRef>
                          <a:fontRef idx="minor"/>
                        </wps:style>
                        <wps:txbx>
                          <w:txbxContent>
                            <w:p w14:paraId="43265B78" w14:textId="77777777" w:rsidR="00863143" w:rsidRDefault="00000000">
                              <w:pPr>
                                <w:spacing w:after="160" w:line="259" w:lineRule="auto"/>
                              </w:pPr>
                              <w:r>
                                <w:rPr>
                                  <w:color w:val="060606"/>
                                  <w:sz w:val="17"/>
                                </w:rPr>
                                <w:t xml:space="preserve"> </w:t>
                              </w:r>
                            </w:p>
                          </w:txbxContent>
                        </wps:txbx>
                        <wps:bodyPr lIns="0" tIns="0" rIns="0" bIns="0" anchor="t">
                          <a:noAutofit/>
                        </wps:bodyPr>
                      </wps:wsp>
                      <wps:wsp>
                        <wps:cNvPr id="1460293285" name="Ορθογώνιο 1460293285"/>
                        <wps:cNvSpPr/>
                        <wps:spPr>
                          <a:xfrm>
                            <a:off x="200520" y="321480"/>
                            <a:ext cx="41760" cy="168120"/>
                          </a:xfrm>
                          <a:prstGeom prst="rect">
                            <a:avLst/>
                          </a:prstGeom>
                          <a:noFill/>
                          <a:ln w="0">
                            <a:noFill/>
                          </a:ln>
                        </wps:spPr>
                        <wps:style>
                          <a:lnRef idx="0">
                            <a:scrgbClr r="0" g="0" b="0"/>
                          </a:lnRef>
                          <a:fillRef idx="0">
                            <a:scrgbClr r="0" g="0" b="0"/>
                          </a:fillRef>
                          <a:effectRef idx="0">
                            <a:scrgbClr r="0" g="0" b="0"/>
                          </a:effectRef>
                          <a:fontRef idx="minor"/>
                        </wps:style>
                        <wps:txbx>
                          <w:txbxContent>
                            <w:p w14:paraId="757827CF" w14:textId="77777777" w:rsidR="00863143" w:rsidRDefault="00000000">
                              <w:pPr>
                                <w:spacing w:after="160" w:line="259" w:lineRule="auto"/>
                              </w:pPr>
                              <w:r>
                                <w:rPr>
                                  <w:color w:val="060606"/>
                                  <w:sz w:val="17"/>
                                </w:rPr>
                                <w:t xml:space="preserve"> </w:t>
                              </w:r>
                            </w:p>
                          </w:txbxContent>
                        </wps:txbx>
                        <wps:bodyPr lIns="0" tIns="0" rIns="0" bIns="0" anchor="t">
                          <a:noAutofit/>
                        </wps:bodyPr>
                      </wps:wsp>
                      <wps:wsp>
                        <wps:cNvPr id="556220657" name="Ορθογώνιο 556220657"/>
                        <wps:cNvSpPr/>
                        <wps:spPr>
                          <a:xfrm>
                            <a:off x="200520" y="453960"/>
                            <a:ext cx="41760" cy="167760"/>
                          </a:xfrm>
                          <a:prstGeom prst="rect">
                            <a:avLst/>
                          </a:prstGeom>
                          <a:noFill/>
                          <a:ln w="0">
                            <a:noFill/>
                          </a:ln>
                        </wps:spPr>
                        <wps:style>
                          <a:lnRef idx="0">
                            <a:scrgbClr r="0" g="0" b="0"/>
                          </a:lnRef>
                          <a:fillRef idx="0">
                            <a:scrgbClr r="0" g="0" b="0"/>
                          </a:fillRef>
                          <a:effectRef idx="0">
                            <a:scrgbClr r="0" g="0" b="0"/>
                          </a:effectRef>
                          <a:fontRef idx="minor"/>
                        </wps:style>
                        <wps:txbx>
                          <w:txbxContent>
                            <w:p w14:paraId="089B57F7" w14:textId="77777777" w:rsidR="00863143" w:rsidRDefault="00000000">
                              <w:pPr>
                                <w:spacing w:after="160" w:line="259" w:lineRule="auto"/>
                              </w:pPr>
                              <w:r>
                                <w:rPr>
                                  <w:color w:val="060606"/>
                                  <w:sz w:val="17"/>
                                </w:rPr>
                                <w:t xml:space="preserve"> </w:t>
                              </w:r>
                            </w:p>
                          </w:txbxContent>
                        </wps:txbx>
                        <wps:bodyPr lIns="0" tIns="0" rIns="0" bIns="0" anchor="t">
                          <a:noAutofit/>
                        </wps:bodyPr>
                      </wps:wsp>
                      <wps:wsp>
                        <wps:cNvPr id="325517010" name="Ορθογώνιο 325517010"/>
                        <wps:cNvSpPr/>
                        <wps:spPr>
                          <a:xfrm>
                            <a:off x="200520" y="586800"/>
                            <a:ext cx="41760" cy="167760"/>
                          </a:xfrm>
                          <a:prstGeom prst="rect">
                            <a:avLst/>
                          </a:prstGeom>
                          <a:noFill/>
                          <a:ln w="0">
                            <a:noFill/>
                          </a:ln>
                        </wps:spPr>
                        <wps:style>
                          <a:lnRef idx="0">
                            <a:scrgbClr r="0" g="0" b="0"/>
                          </a:lnRef>
                          <a:fillRef idx="0">
                            <a:scrgbClr r="0" g="0" b="0"/>
                          </a:fillRef>
                          <a:effectRef idx="0">
                            <a:scrgbClr r="0" g="0" b="0"/>
                          </a:effectRef>
                          <a:fontRef idx="minor"/>
                        </wps:style>
                        <wps:txbx>
                          <w:txbxContent>
                            <w:p w14:paraId="39C812AC" w14:textId="77777777" w:rsidR="00863143" w:rsidRDefault="00000000">
                              <w:pPr>
                                <w:spacing w:after="160" w:line="259" w:lineRule="auto"/>
                              </w:pPr>
                              <w:r>
                                <w:rPr>
                                  <w:color w:val="060606"/>
                                  <w:sz w:val="17"/>
                                </w:rPr>
                                <w:t xml:space="preserve"> </w:t>
                              </w:r>
                            </w:p>
                          </w:txbxContent>
                        </wps:txbx>
                        <wps:bodyPr lIns="0" tIns="0" rIns="0" bIns="0" anchor="t">
                          <a:noAutofit/>
                        </wps:bodyPr>
                      </wps:wsp>
                      <pic:pic xmlns:pic="http://schemas.openxmlformats.org/drawingml/2006/picture">
                        <pic:nvPicPr>
                          <pic:cNvPr id="15243987" name="Picture 12"/>
                          <pic:cNvPicPr/>
                        </pic:nvPicPr>
                        <pic:blipFill>
                          <a:blip r:embed="rId7"/>
                          <a:stretch/>
                        </pic:blipFill>
                        <pic:spPr>
                          <a:xfrm>
                            <a:off x="0" y="0"/>
                            <a:ext cx="802080" cy="707400"/>
                          </a:xfrm>
                          <a:prstGeom prst="rect">
                            <a:avLst/>
                          </a:prstGeom>
                          <a:ln w="0">
                            <a:noFill/>
                          </a:ln>
                        </pic:spPr>
                      </pic:pic>
                    </wpg:wgp>
                  </a:graphicData>
                </a:graphic>
              </wp:inline>
            </w:drawing>
          </mc:Choice>
          <mc:Fallback>
            <w:pict>
              <v:group id="shape_0" alt="Σχήμα1" style="position:absolute;margin-left:0pt;margin-top:-60.1pt;width:74.25pt;height:59.4pt" coordorigin="0,-1202" coordsize="1485,1188">
                <v:rect id="shape_0" ID="Rectangle 6" path="m0,0l-2147483645,0l-2147483645,-2147483646l0,-2147483646xe" stroked="f" o:allowincell="f" style="position:absolute;left:316;top:-900;width:1168;height:262;mso-wrap-style:none;v-text-anchor:middle;mso-position-vertical:top">
                  <v:fill o:detectmouseclick="t" on="false"/>
                  <v:stroke color="#3465a4" joinstyle="round" endcap="flat"/>
                  <v:textbox>
                    <w:txbxContent>
                      <w:p>
                        <w:pPr>
                          <w:pStyle w:val="Normal"/>
                          <w:spacing w:lineRule="auto" w:line="259" w:before="0" w:after="160"/>
                          <w:rPr/>
                        </w:pPr>
                        <w:r>
                          <w:rPr/>
                        </w:r>
                      </w:p>
                    </w:txbxContent>
                  </v:textbox>
                  <w10:wrap type="square"/>
                </v:rect>
                <v:rect id="shape_0" ID="Rectangle 7" path="m0,0l-2147483645,0l-2147483645,-2147483646l0,-2147483646xe" stroked="f" o:allowincell="f" style="position:absolute;left:1197;top:-900;width:65;height:262;mso-wrap-style:square;v-text-anchor:top;mso-position-vertical:top">
                  <v:fill o:detectmouseclick="t" on="false"/>
                  <v:stroke color="#3465a4" joinstyle="round" endcap="flat"/>
                  <v:textbox>
                    <w:txbxContent>
                      <w:p>
                        <w:pPr>
                          <w:pStyle w:val="Normal"/>
                          <w:spacing w:lineRule="auto" w:line="259" w:before="0" w:after="160"/>
                          <w:rPr/>
                        </w:pPr>
                        <w:r>
                          <w:rPr>
                            <w:color w:val="060606"/>
                            <w:sz w:val="17"/>
                          </w:rPr>
                          <w:t xml:space="preserve"> </w:t>
                        </w:r>
                      </w:p>
                    </w:txbxContent>
                  </v:textbox>
                  <w10:wrap type="square"/>
                </v:rect>
                <v:rect id="shape_0" ID="Rectangle 8" path="m0,0l-2147483645,0l-2147483645,-2147483646l0,-2147483646xe" stroked="f" o:allowincell="f" style="position:absolute;left:316;top:-696;width:65;height:264;mso-wrap-style:square;v-text-anchor:top;mso-position-vertical:top">
                  <v:fill o:detectmouseclick="t" on="false"/>
                  <v:stroke color="#3465a4" joinstyle="round" endcap="flat"/>
                  <v:textbox>
                    <w:txbxContent>
                      <w:p>
                        <w:pPr>
                          <w:pStyle w:val="Normal"/>
                          <w:spacing w:lineRule="auto" w:line="259" w:before="0" w:after="160"/>
                          <w:rPr/>
                        </w:pPr>
                        <w:r>
                          <w:rPr>
                            <w:color w:val="060606"/>
                            <w:sz w:val="17"/>
                          </w:rPr>
                          <w:t xml:space="preserve"> </w:t>
                        </w:r>
                      </w:p>
                    </w:txbxContent>
                  </v:textbox>
                  <w10:wrap type="square"/>
                </v:rect>
                <v:rect id="shape_0" ID="Rectangle 9" path="m0,0l-2147483645,0l-2147483645,-2147483646l0,-2147483646xe" stroked="f" o:allowincell="f" style="position:absolute;left:316;top:-487;width:65;height:263;mso-wrap-style:square;v-text-anchor:top;mso-position-vertical:top">
                  <v:fill o:detectmouseclick="t" on="false"/>
                  <v:stroke color="#3465a4" joinstyle="round" endcap="flat"/>
                  <v:textbox>
                    <w:txbxContent>
                      <w:p>
                        <w:pPr>
                          <w:pStyle w:val="Normal"/>
                          <w:spacing w:lineRule="auto" w:line="259" w:before="0" w:after="160"/>
                          <w:rPr/>
                        </w:pPr>
                        <w:r>
                          <w:rPr>
                            <w:color w:val="060606"/>
                            <w:sz w:val="17"/>
                          </w:rPr>
                          <w:t xml:space="preserve"> </w:t>
                        </w:r>
                      </w:p>
                    </w:txbxContent>
                  </v:textbox>
                  <w10:wrap type="square"/>
                </v:rect>
                <v:rect id="shape_0" ID="Rectangle 10" path="m0,0l-2147483645,0l-2147483645,-2147483646l0,-2147483646xe" stroked="f" o:allowincell="f" style="position:absolute;left:316;top:-278;width:65;height:263;mso-wrap-style:square;v-text-anchor:top;mso-position-vertical:top">
                  <v:fill o:detectmouseclick="t" on="false"/>
                  <v:stroke color="#3465a4" joinstyle="round" endcap="flat"/>
                  <v:textbox>
                    <w:txbxContent>
                      <w:p>
                        <w:pPr>
                          <w:pStyle w:val="Normal"/>
                          <w:spacing w:lineRule="auto" w:line="259" w:before="0" w:after="160"/>
                          <w:rPr/>
                        </w:pPr>
                        <w:r>
                          <w:rPr>
                            <w:color w:val="060606"/>
                            <w:sz w:val="17"/>
                          </w:rPr>
                          <w:t xml:space="preserve"> </w:t>
                        </w:r>
                      </w:p>
                    </w:txbxContent>
                  </v:textbox>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12" stroked="f" o:allowincell="f" style="position:absolute;left:0;top:-1202;width:1262;height:1113;mso-wrap-style:none;v-text-anchor:middle;mso-position-vertical:top" type="_x0000_t75">
                  <v:imagedata r:id="rId8" o:detectmouseclick="t"/>
                  <v:stroke color="#3465a4" joinstyle="round" endcap="flat"/>
                  <w10:wrap type="square"/>
                </v:shape>
              </v:group>
            </w:pict>
          </mc:Fallback>
        </mc:AlternateContent>
      </w:r>
    </w:p>
    <w:p w14:paraId="4A344F7E" w14:textId="77777777" w:rsidR="00863143" w:rsidRDefault="00000000">
      <w:pPr>
        <w:tabs>
          <w:tab w:val="center" w:pos="3742"/>
          <w:tab w:val="center" w:pos="4462"/>
          <w:tab w:val="center" w:pos="5182"/>
          <w:tab w:val="center" w:pos="7061"/>
        </w:tabs>
        <w:spacing w:after="3" w:line="252" w:lineRule="auto"/>
      </w:pPr>
      <w:r>
        <w:rPr>
          <w:b/>
        </w:rPr>
        <w:t>ΕΛΛΗΝΙΚΗ ΔΗΜΟΚΡΑΤΙΑ</w:t>
      </w:r>
      <w:r>
        <w:tab/>
      </w:r>
      <w:r>
        <w:tab/>
      </w:r>
      <w:r>
        <w:tab/>
      </w:r>
      <w:r>
        <w:tab/>
        <w:t xml:space="preserve"> </w:t>
      </w:r>
    </w:p>
    <w:p w14:paraId="53DA7BCD" w14:textId="77777777" w:rsidR="00863143" w:rsidRDefault="00000000">
      <w:pPr>
        <w:tabs>
          <w:tab w:val="center" w:pos="3742"/>
          <w:tab w:val="center" w:pos="4462"/>
          <w:tab w:val="center" w:pos="7071"/>
        </w:tabs>
        <w:spacing w:after="3" w:line="252" w:lineRule="auto"/>
      </w:pPr>
      <w:r>
        <w:rPr>
          <w:b/>
        </w:rPr>
        <w:t>ΝΟΜΟΣ ΔΩΔΕΚΑΝΗΣΟΥ</w:t>
      </w:r>
      <w:r>
        <w:tab/>
        <w:t xml:space="preserve"> </w:t>
      </w:r>
      <w:r>
        <w:tab/>
        <w:t xml:space="preserve"> </w:t>
      </w:r>
      <w:r>
        <w:tab/>
        <w:t xml:space="preserve">                      ΗΜΕΡΟΜΗΝΙΑ:  25/1/2024</w:t>
      </w:r>
    </w:p>
    <w:p w14:paraId="7FCC37F1" w14:textId="77777777" w:rsidR="00863143" w:rsidRDefault="00000000">
      <w:pPr>
        <w:tabs>
          <w:tab w:val="center" w:pos="3022"/>
          <w:tab w:val="center" w:pos="3742"/>
          <w:tab w:val="center" w:pos="4462"/>
          <w:tab w:val="center" w:pos="7024"/>
        </w:tabs>
        <w:spacing w:after="3" w:line="252" w:lineRule="auto"/>
        <w:rPr>
          <w:rFonts w:ascii="Verdana" w:hAnsi="Verdana"/>
          <w:b/>
          <w:bCs/>
          <w:sz w:val="18"/>
          <w:szCs w:val="18"/>
        </w:rPr>
      </w:pPr>
      <w:r>
        <w:rPr>
          <w:b/>
        </w:rPr>
        <w:t>ΔΗΜΟΣ ΚΑΡΠΑΘΟΥ</w:t>
      </w:r>
      <w:r>
        <w:t xml:space="preserve"> </w:t>
      </w:r>
      <w:r>
        <w:tab/>
        <w:t xml:space="preserve"> </w:t>
      </w:r>
      <w:r>
        <w:tab/>
        <w:t xml:space="preserve"> </w:t>
      </w:r>
      <w:r>
        <w:tab/>
        <w:t xml:space="preserve">                                       Προς Δημοτική Επιτροπή Δήμου Καρπάθου</w:t>
      </w:r>
    </w:p>
    <w:p w14:paraId="588B1BE6" w14:textId="77777777" w:rsidR="00863143" w:rsidRDefault="00863143">
      <w:pPr>
        <w:jc w:val="both"/>
        <w:rPr>
          <w:rFonts w:ascii="Verdana" w:hAnsi="Verdana"/>
          <w:b/>
          <w:bCs/>
          <w:sz w:val="20"/>
          <w:szCs w:val="20"/>
        </w:rPr>
      </w:pPr>
    </w:p>
    <w:p w14:paraId="6BBA306D" w14:textId="77777777" w:rsidR="00863143" w:rsidRDefault="00000000">
      <w:pPr>
        <w:jc w:val="both"/>
        <w:rPr>
          <w:rFonts w:ascii="Verdana" w:hAnsi="Verdana"/>
          <w:b/>
          <w:bCs/>
          <w:sz w:val="20"/>
          <w:szCs w:val="20"/>
        </w:rPr>
      </w:pPr>
      <w:r>
        <w:rPr>
          <w:rFonts w:ascii="Verdana" w:hAnsi="Verdana"/>
          <w:b/>
          <w:bCs/>
          <w:sz w:val="20"/>
          <w:szCs w:val="20"/>
        </w:rPr>
        <w:t>ΘΕΜΑ: Έγκριση αιτήματος παράτασης χρόνου παράδοσης</w:t>
      </w:r>
    </w:p>
    <w:p w14:paraId="60E0B8B0" w14:textId="77777777" w:rsidR="00863143" w:rsidRDefault="00863143">
      <w:pPr>
        <w:jc w:val="both"/>
        <w:rPr>
          <w:rFonts w:ascii="Verdana" w:hAnsi="Verdana"/>
          <w:b/>
          <w:bCs/>
          <w:sz w:val="20"/>
          <w:szCs w:val="20"/>
        </w:rPr>
      </w:pPr>
    </w:p>
    <w:p w14:paraId="281A11C7" w14:textId="77777777" w:rsidR="00863143" w:rsidRDefault="00000000">
      <w:pPr>
        <w:jc w:val="both"/>
        <w:rPr>
          <w:rFonts w:ascii="Verdana" w:eastAsia="Calibri" w:hAnsi="Verdana"/>
          <w:sz w:val="20"/>
          <w:szCs w:val="20"/>
        </w:rPr>
      </w:pPr>
      <w:r>
        <w:rPr>
          <w:rFonts w:ascii="Verdana" w:hAnsi="Verdana"/>
          <w:sz w:val="20"/>
          <w:szCs w:val="20"/>
        </w:rPr>
        <w:t xml:space="preserve">Στην Κάρπαθο σήμερα την 23/1/2024, ημέρα Τρίτη και ώρα 13.00 συνήλθε σε τακτική συνεδρίαση στο Δημοτικό Κατάστημα η επιτροπή παραλαβής προμηθειών, η οποία συγκροτήθηκε με την υπ’ αριθμόν απόφαση 30/2022 οικονομικής επιτροπής προκειμένου να προβεί στην παράταση του χρόνου παράδοσης των υλικών της προμήθειας </w:t>
      </w:r>
      <w:r>
        <w:t xml:space="preserve">για « </w:t>
      </w:r>
      <w:r>
        <w:rPr>
          <w:rFonts w:ascii="Verdana" w:hAnsi="Verdana"/>
          <w:color w:val="000000"/>
          <w:sz w:val="22"/>
          <w:szCs w:val="22"/>
        </w:rPr>
        <w:t>«Προμήθεια χλοοτάπητα και λοιπών υλικών Δημοτικού Σταδίου στη θέση ΜΑΡΑΘΑ</w:t>
      </w:r>
      <w:r>
        <w:rPr>
          <w:rFonts w:ascii="Verdana" w:eastAsia="Verdana" w:hAnsi="Verdana" w:cs="Calibri Light"/>
          <w:b/>
          <w:sz w:val="22"/>
          <w:szCs w:val="22"/>
        </w:rPr>
        <w:t>»</w:t>
      </w:r>
      <w:r>
        <w:t>»</w:t>
      </w:r>
      <w:r>
        <w:rPr>
          <w:rFonts w:ascii="Arial" w:hAnsi="Arial"/>
          <w:b/>
          <w:sz w:val="20"/>
          <w:szCs w:val="20"/>
        </w:rPr>
        <w:t xml:space="preserve"> </w:t>
      </w:r>
      <w:r>
        <w:rPr>
          <w:rFonts w:ascii="Verdana" w:hAnsi="Verdana"/>
          <w:sz w:val="20"/>
          <w:szCs w:val="20"/>
        </w:rPr>
        <w:t xml:space="preserve">Αριθμ. Σύμβασης </w:t>
      </w:r>
      <w:r>
        <w:t>19079</w:t>
      </w:r>
      <w:r>
        <w:rPr>
          <w:rFonts w:ascii="Verdana" w:hAnsi="Verdana"/>
          <w:sz w:val="20"/>
          <w:szCs w:val="20"/>
        </w:rPr>
        <w:t xml:space="preserve"> (ΑΔΑΜ </w:t>
      </w:r>
      <w:r>
        <w:t>23SYMV013248878</w:t>
      </w:r>
      <w:r>
        <w:rPr>
          <w:rFonts w:ascii="Verdana" w:hAnsi="Verdana"/>
          <w:sz w:val="20"/>
          <w:szCs w:val="20"/>
        </w:rPr>
        <w:t>)</w:t>
      </w:r>
      <w:r>
        <w:rPr>
          <w:rFonts w:ascii="Verdana" w:eastAsia="Calibri" w:hAnsi="Verdana"/>
          <w:sz w:val="20"/>
          <w:szCs w:val="20"/>
        </w:rPr>
        <w:t>.</w:t>
      </w:r>
    </w:p>
    <w:p w14:paraId="0B28D0F8" w14:textId="77777777" w:rsidR="00863143" w:rsidRDefault="00863143">
      <w:pPr>
        <w:jc w:val="both"/>
        <w:rPr>
          <w:rFonts w:ascii="Verdana" w:hAnsi="Verdana" w:cs="Tahoma"/>
          <w:b/>
          <w:sz w:val="20"/>
          <w:szCs w:val="20"/>
        </w:rPr>
      </w:pPr>
    </w:p>
    <w:p w14:paraId="37E56D1F" w14:textId="77777777" w:rsidR="00863143" w:rsidRDefault="00000000">
      <w:pPr>
        <w:jc w:val="both"/>
        <w:rPr>
          <w:rFonts w:ascii="Verdana" w:hAnsi="Verdana"/>
          <w:sz w:val="20"/>
          <w:szCs w:val="20"/>
        </w:rPr>
      </w:pPr>
      <w:r>
        <w:rPr>
          <w:rFonts w:ascii="Verdana" w:hAnsi="Verdana"/>
          <w:sz w:val="20"/>
          <w:szCs w:val="20"/>
        </w:rPr>
        <w:t>Στη συνεδρίαση της επιτροπής ήταν παρόντες:</w:t>
      </w:r>
    </w:p>
    <w:p w14:paraId="77980C7C" w14:textId="77777777" w:rsidR="00863143" w:rsidRDefault="00863143">
      <w:pPr>
        <w:jc w:val="both"/>
        <w:rPr>
          <w:rFonts w:ascii="Verdana" w:hAnsi="Verdana"/>
          <w:sz w:val="20"/>
          <w:szCs w:val="20"/>
        </w:rPr>
      </w:pPr>
    </w:p>
    <w:p w14:paraId="1F23E32A" w14:textId="77777777" w:rsidR="00863143" w:rsidRDefault="00000000">
      <w:pPr>
        <w:jc w:val="both"/>
        <w:rPr>
          <w:rFonts w:ascii="Verdana" w:hAnsi="Verdana"/>
          <w:sz w:val="20"/>
          <w:szCs w:val="20"/>
        </w:rPr>
      </w:pPr>
      <w:r>
        <w:rPr>
          <w:rFonts w:ascii="Verdana" w:hAnsi="Verdana"/>
          <w:sz w:val="20"/>
          <w:szCs w:val="20"/>
        </w:rPr>
        <w:t>1) ΜΗΝΑΚΗΣ ΓΕΩΡΓΙΟΣ</w:t>
      </w:r>
    </w:p>
    <w:p w14:paraId="3ECE8E4F" w14:textId="77777777" w:rsidR="00863143" w:rsidRDefault="00000000">
      <w:pPr>
        <w:jc w:val="both"/>
        <w:rPr>
          <w:rFonts w:ascii="Verdana" w:hAnsi="Verdana"/>
          <w:sz w:val="20"/>
          <w:szCs w:val="20"/>
        </w:rPr>
      </w:pPr>
      <w:r>
        <w:rPr>
          <w:rFonts w:ascii="Verdana" w:hAnsi="Verdana"/>
          <w:sz w:val="20"/>
          <w:szCs w:val="20"/>
        </w:rPr>
        <w:t>2)ΚΑΡΑΤΖΑΣ ΑΛΕΞΑΝΔΡΟΣ</w:t>
      </w:r>
    </w:p>
    <w:p w14:paraId="1536548E" w14:textId="77777777" w:rsidR="00863143" w:rsidRDefault="00000000">
      <w:pPr>
        <w:jc w:val="both"/>
        <w:rPr>
          <w:rFonts w:ascii="Verdana" w:hAnsi="Verdana"/>
          <w:sz w:val="20"/>
          <w:szCs w:val="20"/>
        </w:rPr>
      </w:pPr>
      <w:r>
        <w:rPr>
          <w:rFonts w:ascii="Verdana" w:hAnsi="Verdana"/>
          <w:sz w:val="20"/>
          <w:szCs w:val="20"/>
        </w:rPr>
        <w:t>3) ΠΑΡΑΓΙΟΣ ΒΑΣΙΛΕΙΟΣ</w:t>
      </w:r>
    </w:p>
    <w:p w14:paraId="6056759E" w14:textId="77777777" w:rsidR="00863143" w:rsidRDefault="00863143">
      <w:pPr>
        <w:jc w:val="both"/>
        <w:rPr>
          <w:rFonts w:ascii="Verdana" w:hAnsi="Verdana"/>
          <w:sz w:val="20"/>
          <w:szCs w:val="20"/>
        </w:rPr>
      </w:pPr>
    </w:p>
    <w:p w14:paraId="6FEB2AC7" w14:textId="77777777" w:rsidR="00863143" w:rsidRDefault="00000000">
      <w:pPr>
        <w:pStyle w:val="ac"/>
        <w:rPr>
          <w:rFonts w:ascii="Verdana" w:hAnsi="Verdana"/>
          <w:sz w:val="20"/>
          <w:szCs w:val="20"/>
        </w:rPr>
      </w:pPr>
      <w:r>
        <w:rPr>
          <w:rFonts w:ascii="Verdana" w:hAnsi="Verdana"/>
          <w:b/>
          <w:sz w:val="20"/>
          <w:szCs w:val="20"/>
        </w:rPr>
        <w:t>1.</w:t>
      </w:r>
      <w:r>
        <w:rPr>
          <w:rFonts w:ascii="Verdana" w:hAnsi="Verdana"/>
          <w:sz w:val="20"/>
          <w:szCs w:val="20"/>
        </w:rPr>
        <w:t xml:space="preserve">Ο οικονομικός φορέας υπέβαλε την αίτηση  του την 18/1/2023 (έχει κατατεθεί εμπρόθεσμα) στο πρωτόκολλο του Δήμου μας και σύμφωνα με τον νόμο 4412/2016 ο συμβατικός χρόνος παράδοσης των υλικών μπορεί να παρατείνεται υπό τις ακόλουθες </w:t>
      </w:r>
      <w:r>
        <w:rPr>
          <w:rStyle w:val="a5"/>
          <w:rFonts w:ascii="Verdana" w:hAnsi="Verdana"/>
          <w:sz w:val="20"/>
          <w:szCs w:val="20"/>
        </w:rPr>
        <w:t xml:space="preserve">σωρευτικές </w:t>
      </w:r>
      <w:r>
        <w:rPr>
          <w:rFonts w:ascii="Verdana" w:hAnsi="Verdana"/>
          <w:sz w:val="20"/>
          <w:szCs w:val="20"/>
        </w:rPr>
        <w:t>προϋποθέσεις:</w:t>
      </w:r>
    </w:p>
    <w:p w14:paraId="2BD50237" w14:textId="77777777" w:rsidR="00863143" w:rsidRDefault="00000000">
      <w:pPr>
        <w:pStyle w:val="ac"/>
        <w:rPr>
          <w:rFonts w:ascii="Verdana" w:hAnsi="Verdana"/>
          <w:sz w:val="20"/>
          <w:szCs w:val="20"/>
        </w:rPr>
      </w:pPr>
      <w:r>
        <w:rPr>
          <w:rStyle w:val="a5"/>
          <w:rFonts w:ascii="Verdana" w:hAnsi="Verdana"/>
          <w:sz w:val="20"/>
          <w:szCs w:val="20"/>
        </w:rPr>
        <w:t>α)</w:t>
      </w:r>
      <w:r>
        <w:rPr>
          <w:rFonts w:ascii="Verdana" w:hAnsi="Verdana"/>
          <w:sz w:val="20"/>
          <w:szCs w:val="20"/>
        </w:rPr>
        <w:t xml:space="preserve"> τηρούνται οι όροι της διάταξης του </w:t>
      </w:r>
      <w:hyperlink r:id="rId9" w:tgtFrame="_blank">
        <w:r>
          <w:rPr>
            <w:rFonts w:ascii="Verdana" w:hAnsi="Verdana"/>
            <w:sz w:val="20"/>
            <w:szCs w:val="20"/>
          </w:rPr>
          <w:t>άρθρου 132</w:t>
        </w:r>
      </w:hyperlink>
      <w:r>
        <w:rPr>
          <w:rFonts w:ascii="Verdana" w:hAnsi="Verdana"/>
          <w:sz w:val="20"/>
          <w:szCs w:val="20"/>
        </w:rPr>
        <w:t>,</w:t>
      </w:r>
    </w:p>
    <w:p w14:paraId="25C2BD71" w14:textId="77777777" w:rsidR="00863143" w:rsidRDefault="00000000">
      <w:pPr>
        <w:pStyle w:val="ac"/>
        <w:rPr>
          <w:rFonts w:ascii="Verdana" w:hAnsi="Verdana"/>
          <w:sz w:val="20"/>
          <w:szCs w:val="20"/>
        </w:rPr>
      </w:pPr>
      <w:r>
        <w:rPr>
          <w:rStyle w:val="a5"/>
          <w:rFonts w:ascii="Verdana" w:hAnsi="Verdana"/>
          <w:sz w:val="20"/>
          <w:szCs w:val="20"/>
        </w:rPr>
        <w:t>β)</w:t>
      </w:r>
      <w:r>
        <w:rPr>
          <w:rFonts w:ascii="Verdana" w:hAnsi="Verdana"/>
          <w:sz w:val="20"/>
          <w:szCs w:val="20"/>
        </w:rPr>
        <w:t xml:space="preserve"> έχει εκδοθεί αιτιολογημένη απόφαση του αρμόδιου αποφαινόμενου οργάνου της αναθέτουσας αρχής μετά από γνωμοδότηση αρμοδίου συλλογικού οργάνου </w:t>
      </w:r>
      <w:r>
        <w:rPr>
          <w:rStyle w:val="a5"/>
          <w:rFonts w:ascii="Verdana" w:hAnsi="Verdana"/>
          <w:sz w:val="20"/>
          <w:szCs w:val="20"/>
        </w:rPr>
        <w:t xml:space="preserve">είτε </w:t>
      </w:r>
      <w:r>
        <w:rPr>
          <w:rFonts w:ascii="Verdana" w:hAnsi="Verdana"/>
          <w:sz w:val="20"/>
          <w:szCs w:val="20"/>
        </w:rPr>
        <w:t xml:space="preserve">με πρωτοβουλία της αναθέτουσας αρχής και εφόσον συμφωνεί ο προμηθευτής </w:t>
      </w:r>
      <w:r>
        <w:rPr>
          <w:rStyle w:val="a5"/>
          <w:rFonts w:ascii="Verdana" w:hAnsi="Verdana"/>
          <w:sz w:val="20"/>
          <w:szCs w:val="20"/>
        </w:rPr>
        <w:t xml:space="preserve">είτε </w:t>
      </w:r>
      <w:r>
        <w:rPr>
          <w:rFonts w:ascii="Verdana" w:hAnsi="Verdana"/>
          <w:sz w:val="20"/>
          <w:szCs w:val="20"/>
        </w:rPr>
        <w:t xml:space="preserve">ύστερα από σχετικό αίτημα του προμηθευτή το οποίο υποβάλλεται υποχρεωτικά </w:t>
      </w:r>
      <w:r>
        <w:rPr>
          <w:rStyle w:val="a5"/>
          <w:rFonts w:ascii="Verdana" w:hAnsi="Verdana"/>
          <w:sz w:val="20"/>
          <w:szCs w:val="20"/>
        </w:rPr>
        <w:t xml:space="preserve">πριν </w:t>
      </w:r>
      <w:r>
        <w:rPr>
          <w:rFonts w:ascii="Verdana" w:hAnsi="Verdana"/>
          <w:sz w:val="20"/>
          <w:szCs w:val="20"/>
        </w:rPr>
        <w:t>από τη λήξη του συμβατικού χρόνου,</w:t>
      </w:r>
    </w:p>
    <w:p w14:paraId="3AEA5A23" w14:textId="77777777" w:rsidR="00863143" w:rsidRDefault="00000000">
      <w:pPr>
        <w:pStyle w:val="ac"/>
        <w:rPr>
          <w:rFonts w:ascii="Verdana" w:hAnsi="Verdana"/>
          <w:sz w:val="20"/>
          <w:szCs w:val="20"/>
        </w:rPr>
      </w:pPr>
      <w:r>
        <w:rPr>
          <w:rStyle w:val="a5"/>
          <w:rFonts w:ascii="Verdana" w:hAnsi="Verdana"/>
          <w:sz w:val="20"/>
          <w:szCs w:val="20"/>
        </w:rPr>
        <w:t>γ)</w:t>
      </w:r>
      <w:r>
        <w:rPr>
          <w:rFonts w:ascii="Verdana" w:hAnsi="Verdana"/>
          <w:sz w:val="20"/>
          <w:szCs w:val="20"/>
        </w:rPr>
        <w:t xml:space="preserve"> το χρονικό διάστημα της παράτασης είναι </w:t>
      </w:r>
      <w:r>
        <w:rPr>
          <w:rStyle w:val="a5"/>
          <w:rFonts w:ascii="Verdana" w:hAnsi="Verdana"/>
          <w:sz w:val="20"/>
          <w:szCs w:val="20"/>
        </w:rPr>
        <w:t xml:space="preserve">ίσο ή μικρότερο </w:t>
      </w:r>
      <w:r>
        <w:rPr>
          <w:rFonts w:ascii="Verdana" w:hAnsi="Verdana"/>
          <w:sz w:val="20"/>
          <w:szCs w:val="20"/>
        </w:rPr>
        <w:t>από τον αρχικό συμβατικό χρόνο παράδοσης. (</w:t>
      </w:r>
      <w:hyperlink r:id="rId10" w:tgtFrame="_blank">
        <w:r>
          <w:rPr>
            <w:rFonts w:ascii="Verdana" w:hAnsi="Verdana"/>
            <w:sz w:val="20"/>
            <w:szCs w:val="20"/>
          </w:rPr>
          <w:t>άρθρο 206 παρ.1 του Ν.4412/2016</w:t>
        </w:r>
      </w:hyperlink>
      <w:r>
        <w:rPr>
          <w:rFonts w:ascii="Verdana" w:hAnsi="Verdana"/>
          <w:sz w:val="20"/>
          <w:szCs w:val="20"/>
        </w:rPr>
        <w:t>)</w:t>
      </w:r>
    </w:p>
    <w:p w14:paraId="4B90D27F" w14:textId="77777777" w:rsidR="00863143" w:rsidRDefault="00000000">
      <w:pPr>
        <w:pStyle w:val="ac"/>
        <w:rPr>
          <w:rFonts w:ascii="Verdana" w:hAnsi="Verdana"/>
          <w:sz w:val="20"/>
          <w:szCs w:val="20"/>
        </w:rPr>
      </w:pPr>
      <w:r>
        <w:rPr>
          <w:rFonts w:ascii="Verdana" w:hAnsi="Verdana"/>
          <w:sz w:val="20"/>
          <w:szCs w:val="20"/>
        </w:rPr>
        <w:t>Στην περίπτωση παράτασης του συμβατικού χρόνου παράδοσης, ο χρόνος παράτασης δεν συνυπολογίζεται στο συμβατικό χρόνο παράδοσης. (</w:t>
      </w:r>
      <w:hyperlink r:id="rId11" w:tgtFrame="_blank">
        <w:r>
          <w:rPr>
            <w:rFonts w:ascii="Verdana" w:hAnsi="Verdana"/>
            <w:sz w:val="20"/>
            <w:szCs w:val="20"/>
          </w:rPr>
          <w:t>άρθρο 206 παρ.2 του Ν.4412/2016</w:t>
        </w:r>
      </w:hyperlink>
      <w:r>
        <w:rPr>
          <w:rFonts w:ascii="Verdana" w:hAnsi="Verdana"/>
          <w:sz w:val="20"/>
          <w:szCs w:val="20"/>
        </w:rPr>
        <w:t>)</w:t>
      </w:r>
    </w:p>
    <w:p w14:paraId="0DE82D8D" w14:textId="77777777" w:rsidR="00863143" w:rsidRDefault="00000000">
      <w:pPr>
        <w:pStyle w:val="ac"/>
        <w:rPr>
          <w:rFonts w:ascii="Verdana" w:hAnsi="Verdana"/>
          <w:i/>
          <w:iCs/>
          <w:sz w:val="20"/>
          <w:szCs w:val="20"/>
        </w:rPr>
      </w:pPr>
      <w:r>
        <w:rPr>
          <w:rFonts w:ascii="Verdana" w:hAnsi="Verdana"/>
          <w:sz w:val="20"/>
          <w:szCs w:val="20"/>
        </w:rPr>
        <w:t xml:space="preserve">Η απόφαση παράτασης εκδίδεται εντός </w:t>
      </w:r>
      <w:proofErr w:type="spellStart"/>
      <w:r>
        <w:rPr>
          <w:rStyle w:val="a5"/>
          <w:rFonts w:ascii="Verdana" w:hAnsi="Verdana"/>
          <w:sz w:val="20"/>
          <w:szCs w:val="20"/>
        </w:rPr>
        <w:t>ευλόγου</w:t>
      </w:r>
      <w:proofErr w:type="spellEnd"/>
      <w:r>
        <w:rPr>
          <w:rFonts w:ascii="Verdana" w:hAnsi="Verdana"/>
          <w:sz w:val="20"/>
          <w:szCs w:val="20"/>
        </w:rPr>
        <w:t xml:space="preserve"> χρονικού διαστήματος από την υποβολή του σχετικού αιτήματος του προμηθευτή. (</w:t>
      </w:r>
      <w:hyperlink r:id="rId12" w:tgtFrame="_blank">
        <w:r>
          <w:rPr>
            <w:rFonts w:ascii="Verdana" w:hAnsi="Verdana"/>
            <w:sz w:val="20"/>
            <w:szCs w:val="20"/>
          </w:rPr>
          <w:t>άρθρο 206 παρ.3 του Ν.4412/2016</w:t>
        </w:r>
      </w:hyperlink>
      <w:r>
        <w:rPr>
          <w:rFonts w:ascii="Verdana" w:hAnsi="Verdana"/>
          <w:sz w:val="20"/>
          <w:szCs w:val="20"/>
        </w:rPr>
        <w:t>, όπως τροποποιήθηκε από το</w:t>
      </w:r>
      <w:hyperlink r:id="rId13" w:tgtFrame="_blank">
        <w:r>
          <w:rPr>
            <w:rFonts w:ascii="Verdana" w:hAnsi="Verdana"/>
            <w:sz w:val="20"/>
            <w:szCs w:val="20"/>
          </w:rPr>
          <w:t xml:space="preserve"> άρθρο 104 του Ν.4782/2021</w:t>
        </w:r>
      </w:hyperlink>
      <w:r>
        <w:rPr>
          <w:rFonts w:ascii="Verdana" w:hAnsi="Verdana"/>
          <w:sz w:val="20"/>
          <w:szCs w:val="20"/>
        </w:rPr>
        <w:t xml:space="preserve">. Σύμφωνα με το άρθρο 132 του Ν. 4412/2016 προβλέπονται: </w:t>
      </w:r>
      <w:r>
        <w:rPr>
          <w:rFonts w:ascii="Verdana" w:hAnsi="Verdana"/>
          <w:i/>
          <w:iCs/>
          <w:sz w:val="20"/>
          <w:szCs w:val="20"/>
        </w:rPr>
        <w:t>1. Οι συμβάσεις και οι συμφωνίες-πλαίσιο μπορούν να τροποποιούνται χωρίς νέα διαδικασία σύναψης σύμβασης σε οποιαδήποτε από τις ακόλουθες περιπτώσεις:</w:t>
      </w:r>
    </w:p>
    <w:p w14:paraId="1F2844C7" w14:textId="77777777" w:rsidR="00863143" w:rsidRDefault="00000000">
      <w:pPr>
        <w:pStyle w:val="ac"/>
        <w:rPr>
          <w:rFonts w:ascii="Verdana" w:hAnsi="Verdana"/>
          <w:i/>
          <w:iCs/>
          <w:sz w:val="20"/>
          <w:szCs w:val="20"/>
        </w:rPr>
      </w:pPr>
      <w:r>
        <w:rPr>
          <w:rFonts w:ascii="Verdana" w:hAnsi="Verdana"/>
          <w:i/>
          <w:iCs/>
          <w:sz w:val="20"/>
          <w:szCs w:val="20"/>
        </w:rPr>
        <w:t>α) όταν οι τροποποιήσεις, ανεξαρτήτως της χρηματικής αξίας τους, προβλέπονται σε σαφείς, ακριβείς και ρητές ρήτρες αναθεώρησης στα αρχικά έγγραφα της σύμβασης στις οποίες μπορεί να περιλαμβάνονται και ρήτρες αναθεώρησης τιμών ή προαιρέσεις. Οι ρήτρες αυτές αναφέρουν το αντικείμενο και τη φύση των ενδεχόμενων τροποποιήσεων ή προαιρέσεων, καθώς και τους όρους υπό τους οποίους μπορούν να ενεργοποιηθούν. Δεν προβλέπουν τροποποιήσεις ή προαιρέσεις που ενδέχεται να μεταβάλουν τη συνολική φύση της σύμβασης ή της συμφωνίας-πλαίσιο… «γ) όταν πληρούνται σωρευτικά οι ακόλουθες προϋποθέσεις: αα) η ανάγκη τροποποίησης προέκυψε λόγω περιστάσεων που δεν ήταν δυνατόν να προβλεφθούν από μια επιμελή αναθέτουσα αρχή, ββ) η τροποποίηση δεν μεταβάλλει τη συνολική φύση της σύμβασης,… 6. Στον έλεγχο νομιμότητας υπάγονται οι τροποποιητικές συμβάσεις, εφόσον η κύρια σύμβαση διήλθε από τον προληπτικό έλεγχο νομιμότητας του Ελεγκτικού Συνεδρίου, εκτός από τις ακόλουθες περιπτώσεις: α) όταν οι τροποποιήσεις δεν έχουν οικονομικό αντικείμενο και δεν είναι ουσιώδεις κατά την έννοια της παραγράφου 4,</w:t>
      </w:r>
    </w:p>
    <w:p w14:paraId="66E355DD" w14:textId="77777777" w:rsidR="00863143" w:rsidRDefault="00863143">
      <w:pPr>
        <w:pStyle w:val="ac"/>
        <w:rPr>
          <w:rFonts w:ascii="Verdana" w:hAnsi="Verdana"/>
          <w:i/>
          <w:iCs/>
          <w:sz w:val="20"/>
          <w:szCs w:val="20"/>
        </w:rPr>
      </w:pPr>
    </w:p>
    <w:p w14:paraId="3A61FBBE" w14:textId="77777777" w:rsidR="00863143" w:rsidRDefault="00000000">
      <w:pPr>
        <w:pStyle w:val="ac"/>
        <w:rPr>
          <w:rFonts w:ascii="Verdana" w:hAnsi="Verdana"/>
          <w:sz w:val="20"/>
          <w:szCs w:val="20"/>
        </w:rPr>
      </w:pPr>
      <w:r>
        <w:rPr>
          <w:rFonts w:ascii="Verdana" w:hAnsi="Verdana"/>
          <w:sz w:val="20"/>
          <w:szCs w:val="20"/>
        </w:rPr>
        <w:t>Άρθρο 206</w:t>
      </w:r>
    </w:p>
    <w:p w14:paraId="5C03768C" w14:textId="77777777" w:rsidR="00863143" w:rsidRDefault="00000000">
      <w:pPr>
        <w:jc w:val="both"/>
        <w:rPr>
          <w:rFonts w:ascii="Verdana" w:hAnsi="Verdana"/>
          <w:i/>
          <w:iCs/>
          <w:sz w:val="20"/>
          <w:szCs w:val="20"/>
        </w:rPr>
      </w:pPr>
      <w:r>
        <w:rPr>
          <w:rFonts w:ascii="Verdana" w:hAnsi="Verdana"/>
          <w:i/>
          <w:iCs/>
          <w:sz w:val="20"/>
          <w:szCs w:val="20"/>
        </w:rPr>
        <w:t xml:space="preserve">1.Ο προμηθευτής υποχρεούται να παραδίδει το υλικό μέσα στα χρονικά όρια και με τον τρόπο που ορίζει η σύμβαση. Ο συμβατικός χρόνος παράδοσης των υλικών μπορεί να παρατείνεται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w:t>
      </w:r>
      <w:r>
        <w:rPr>
          <w:rFonts w:ascii="Verdana" w:hAnsi="Verdana"/>
          <w:i/>
          <w:iCs/>
          <w:sz w:val="20"/>
          <w:szCs w:val="20"/>
        </w:rPr>
        <w:lastRenderedPageBreak/>
        <w:t xml:space="preserve">αναθέτουσας αρχής και εφόσον συμφωνεί ο προμηθευτής είτε ύστερα από σχετικό αίτημα του προμηθευτή,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2.Στην περίπτωση παράτασης του συμβατικού χρόνου παράδοσης, ο χρόνος παράτασης δεν συνυπολογίζεται στον συμβατικό χρόνο παράδοσης. 3.Η απόφαση παράτασης εκδίδεται εντός </w:t>
      </w:r>
      <w:proofErr w:type="spellStart"/>
      <w:r>
        <w:rPr>
          <w:rFonts w:ascii="Verdana" w:hAnsi="Verdana"/>
          <w:i/>
          <w:iCs/>
          <w:sz w:val="20"/>
          <w:szCs w:val="20"/>
        </w:rPr>
        <w:t>ευλόγου</w:t>
      </w:r>
      <w:proofErr w:type="spellEnd"/>
      <w:r>
        <w:rPr>
          <w:rFonts w:ascii="Verdana" w:hAnsi="Verdana"/>
          <w:i/>
          <w:iCs/>
          <w:sz w:val="20"/>
          <w:szCs w:val="20"/>
        </w:rPr>
        <w:t xml:space="preserve"> χρονικού διαστήματος από την υποβολή του σχετικού αιτήματος του προμηθευτή. Στην περίπτωση παράτασης του συμβατικού χρόνου παράδοσης, επιβάλλονται οι κυρώσεις που προβλέπονται στο άρθρο 207 περί κυρώσεων για εκπρόθεσμή παράδοση προμήθειας. 4.Με αιτιολογημένη απόφαση του αρμόδιου αποφαινόμενου οργάνου, η οποία εκδίδεται ύστερα από γνωμοδότηση του οργάνου της περ. β’ της παρ. 11 του άρθρου 221, ο συμβατικός χρόνος φόρτωσης -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 παράδοσης δεν επιβάλλονται κυρώσεις.</w:t>
      </w:r>
    </w:p>
    <w:p w14:paraId="0BE7C07D" w14:textId="77777777" w:rsidR="00863143" w:rsidRDefault="00863143">
      <w:pPr>
        <w:jc w:val="both"/>
        <w:rPr>
          <w:rFonts w:ascii="Verdana" w:hAnsi="Verdana"/>
          <w:i/>
          <w:iCs/>
          <w:sz w:val="20"/>
          <w:szCs w:val="20"/>
        </w:rPr>
      </w:pPr>
    </w:p>
    <w:p w14:paraId="54D036E7" w14:textId="77777777" w:rsidR="00863143" w:rsidRDefault="00000000">
      <w:pPr>
        <w:jc w:val="center"/>
        <w:rPr>
          <w:rFonts w:ascii="Verdana" w:hAnsi="Verdana"/>
          <w:sz w:val="20"/>
          <w:szCs w:val="20"/>
        </w:rPr>
      </w:pPr>
      <w:r>
        <w:rPr>
          <w:rFonts w:ascii="Verdana" w:hAnsi="Verdana"/>
          <w:sz w:val="20"/>
          <w:szCs w:val="20"/>
        </w:rPr>
        <w:t>Η επιτροπή λαμβάνοντας υπόψη:</w:t>
      </w:r>
    </w:p>
    <w:p w14:paraId="52D71E4C" w14:textId="77777777" w:rsidR="00863143" w:rsidRDefault="00863143">
      <w:pPr>
        <w:jc w:val="center"/>
        <w:rPr>
          <w:rFonts w:ascii="Verdana" w:hAnsi="Verdana"/>
          <w:sz w:val="20"/>
          <w:szCs w:val="20"/>
        </w:rPr>
      </w:pPr>
    </w:p>
    <w:p w14:paraId="21B23668" w14:textId="77777777" w:rsidR="00863143" w:rsidRDefault="00000000">
      <w:pPr>
        <w:jc w:val="both"/>
        <w:rPr>
          <w:rFonts w:ascii="Verdana" w:hAnsi="Verdana"/>
          <w:sz w:val="20"/>
          <w:szCs w:val="20"/>
        </w:rPr>
      </w:pPr>
      <w:r>
        <w:rPr>
          <w:rFonts w:ascii="Verdana" w:hAnsi="Verdana"/>
          <w:sz w:val="20"/>
          <w:szCs w:val="20"/>
        </w:rPr>
        <w:t xml:space="preserve">1. την υπ’ αριθ. </w:t>
      </w:r>
      <w:r>
        <w:t>19079</w:t>
      </w:r>
      <w:r>
        <w:rPr>
          <w:rFonts w:ascii="Verdana" w:hAnsi="Verdana"/>
          <w:sz w:val="20"/>
          <w:szCs w:val="20"/>
        </w:rPr>
        <w:t xml:space="preserve"> (ΑΔΑΜ </w:t>
      </w:r>
      <w:r>
        <w:t>23SYMV013248878</w:t>
      </w:r>
      <w:r>
        <w:rPr>
          <w:rFonts w:ascii="Verdana" w:hAnsi="Verdana"/>
          <w:sz w:val="20"/>
          <w:szCs w:val="20"/>
        </w:rPr>
        <w:t>)</w:t>
      </w:r>
      <w:r>
        <w:rPr>
          <w:rFonts w:ascii="Verdana" w:eastAsia="Calibri" w:hAnsi="Verdana"/>
          <w:sz w:val="20"/>
          <w:szCs w:val="20"/>
        </w:rPr>
        <w:t>σύμβαση.</w:t>
      </w:r>
    </w:p>
    <w:p w14:paraId="4CDE03BB" w14:textId="77777777" w:rsidR="00863143" w:rsidRDefault="00000000">
      <w:pPr>
        <w:jc w:val="both"/>
        <w:rPr>
          <w:rFonts w:ascii="Verdana" w:hAnsi="Verdana"/>
          <w:sz w:val="20"/>
          <w:szCs w:val="20"/>
        </w:rPr>
      </w:pPr>
      <w:r>
        <w:rPr>
          <w:rFonts w:ascii="Verdana" w:hAnsi="Verdana"/>
          <w:sz w:val="20"/>
          <w:szCs w:val="20"/>
        </w:rPr>
        <w:t>2. την 2199/2024 αίτηση του αναδόχου</w:t>
      </w:r>
    </w:p>
    <w:p w14:paraId="7C41EF80" w14:textId="77777777" w:rsidR="00863143" w:rsidRDefault="00000000">
      <w:pPr>
        <w:jc w:val="both"/>
        <w:rPr>
          <w:rFonts w:ascii="Verdana" w:hAnsi="Verdana"/>
          <w:sz w:val="20"/>
          <w:szCs w:val="20"/>
        </w:rPr>
      </w:pPr>
      <w:r>
        <w:rPr>
          <w:rFonts w:ascii="Verdana" w:hAnsi="Verdana"/>
          <w:sz w:val="20"/>
          <w:szCs w:val="20"/>
        </w:rPr>
        <w:t>3. τις διατάξεις του Ν.4412/2016 όπως αυτές τροποποιήθηκαν με το άρθρο 104 του Ν. 4782/2021</w:t>
      </w:r>
    </w:p>
    <w:p w14:paraId="088E0826" w14:textId="77777777" w:rsidR="00863143" w:rsidRDefault="00863143">
      <w:pPr>
        <w:jc w:val="both"/>
        <w:rPr>
          <w:rFonts w:ascii="Verdana" w:hAnsi="Verdana"/>
          <w:sz w:val="20"/>
          <w:szCs w:val="20"/>
        </w:rPr>
      </w:pPr>
    </w:p>
    <w:p w14:paraId="4BDB5D04" w14:textId="77777777" w:rsidR="00863143" w:rsidRDefault="00000000">
      <w:pPr>
        <w:jc w:val="both"/>
        <w:rPr>
          <w:rFonts w:ascii="Verdana" w:hAnsi="Verdana"/>
          <w:sz w:val="20"/>
          <w:szCs w:val="20"/>
        </w:rPr>
      </w:pPr>
      <w:r>
        <w:rPr>
          <w:rFonts w:ascii="Verdana" w:hAnsi="Verdana"/>
          <w:sz w:val="20"/>
          <w:szCs w:val="20"/>
        </w:rPr>
        <w:t>Προτείνει προς τη Δημοτική επιτροπή:</w:t>
      </w:r>
    </w:p>
    <w:p w14:paraId="398C39AC" w14:textId="77777777" w:rsidR="00863143" w:rsidRDefault="00000000">
      <w:pPr>
        <w:jc w:val="both"/>
        <w:rPr>
          <w:rFonts w:ascii="Verdana" w:hAnsi="Verdana"/>
          <w:sz w:val="20"/>
          <w:szCs w:val="20"/>
        </w:rPr>
      </w:pPr>
      <w:r>
        <w:rPr>
          <w:rFonts w:ascii="Verdana" w:hAnsi="Verdana"/>
          <w:sz w:val="20"/>
          <w:szCs w:val="20"/>
        </w:rPr>
        <w:t xml:space="preserve">Την παράταση χρόνου παράδοσης υλικών έως την 7/3/2024 (80 ημέρες το </w:t>
      </w:r>
      <w:proofErr w:type="spellStart"/>
      <w:r>
        <w:rPr>
          <w:rFonts w:ascii="Verdana" w:hAnsi="Verdana"/>
          <w:sz w:val="20"/>
          <w:szCs w:val="20"/>
        </w:rPr>
        <w:t>ήμιση</w:t>
      </w:r>
      <w:proofErr w:type="spellEnd"/>
      <w:r>
        <w:rPr>
          <w:rFonts w:ascii="Verdana" w:hAnsi="Verdana"/>
          <w:sz w:val="20"/>
          <w:szCs w:val="20"/>
        </w:rPr>
        <w:t xml:space="preserve"> της σύμβασης).</w:t>
      </w:r>
    </w:p>
    <w:p w14:paraId="538D3F72" w14:textId="77777777" w:rsidR="00863143" w:rsidRDefault="00863143">
      <w:pPr>
        <w:jc w:val="both"/>
        <w:rPr>
          <w:rFonts w:ascii="Verdana" w:hAnsi="Verdana"/>
          <w:sz w:val="20"/>
          <w:szCs w:val="20"/>
        </w:rPr>
      </w:pPr>
    </w:p>
    <w:p w14:paraId="6CC7C896" w14:textId="77777777" w:rsidR="00863143" w:rsidRDefault="00000000">
      <w:pPr>
        <w:jc w:val="both"/>
        <w:rPr>
          <w:rFonts w:ascii="Verdana" w:hAnsi="Verdana" w:cs="Tahoma"/>
          <w:sz w:val="20"/>
          <w:szCs w:val="20"/>
        </w:rPr>
      </w:pPr>
      <w:r>
        <w:rPr>
          <w:rFonts w:ascii="Verdana" w:hAnsi="Verdana" w:cs="Tahoma"/>
          <w:sz w:val="20"/>
          <w:szCs w:val="20"/>
        </w:rPr>
        <w:t>Για διαπίστωση των άνω, συντάχθηκε το παρόν πρακτικό, το οποίο αφού αναγνώσθηκε και βεβαιώθηκε, υπογράφεται.</w:t>
      </w:r>
    </w:p>
    <w:p w14:paraId="476709F8" w14:textId="77777777" w:rsidR="00863143" w:rsidRDefault="00863143">
      <w:pPr>
        <w:jc w:val="both"/>
        <w:rPr>
          <w:rFonts w:ascii="Verdana" w:hAnsi="Verdana" w:cs="Tahoma"/>
          <w:sz w:val="20"/>
          <w:szCs w:val="20"/>
        </w:rPr>
      </w:pPr>
    </w:p>
    <w:p w14:paraId="56F64316" w14:textId="77777777" w:rsidR="00863143" w:rsidRDefault="00863143">
      <w:pPr>
        <w:jc w:val="both"/>
        <w:rPr>
          <w:rFonts w:ascii="Verdana" w:hAnsi="Verdana" w:cs="Tahoma"/>
          <w:sz w:val="20"/>
          <w:szCs w:val="20"/>
        </w:rPr>
      </w:pPr>
    </w:p>
    <w:p w14:paraId="40789495" w14:textId="77777777" w:rsidR="00863143" w:rsidRDefault="00863143">
      <w:pPr>
        <w:jc w:val="both"/>
        <w:rPr>
          <w:rFonts w:ascii="Verdana" w:hAnsi="Verdana" w:cs="Tahoma"/>
          <w:sz w:val="20"/>
          <w:szCs w:val="20"/>
        </w:rPr>
      </w:pPr>
    </w:p>
    <w:p w14:paraId="6CE9000D" w14:textId="77777777" w:rsidR="00863143" w:rsidRDefault="00000000">
      <w:pPr>
        <w:jc w:val="center"/>
        <w:rPr>
          <w:rFonts w:ascii="Verdana" w:hAnsi="Verdana"/>
          <w:b/>
          <w:bCs/>
          <w:sz w:val="18"/>
          <w:szCs w:val="18"/>
        </w:rPr>
      </w:pPr>
      <w:r>
        <w:rPr>
          <w:rFonts w:ascii="Verdana" w:hAnsi="Verdana"/>
          <w:b/>
          <w:bCs/>
          <w:sz w:val="18"/>
          <w:szCs w:val="18"/>
        </w:rPr>
        <w:t>Η ΕΠΙΤΡΟΠΗ</w:t>
      </w:r>
    </w:p>
    <w:p w14:paraId="41B3F074" w14:textId="77777777" w:rsidR="00863143" w:rsidRDefault="00863143">
      <w:pPr>
        <w:rPr>
          <w:rFonts w:ascii="Verdana" w:hAnsi="Verdana"/>
          <w:b/>
          <w:bCs/>
          <w:sz w:val="18"/>
          <w:szCs w:val="18"/>
        </w:rPr>
      </w:pPr>
    </w:p>
    <w:p w14:paraId="2F1C6430" w14:textId="77777777" w:rsidR="00863143" w:rsidRDefault="00000000">
      <w:pPr>
        <w:pStyle w:val="ad"/>
        <w:numPr>
          <w:ilvl w:val="0"/>
          <w:numId w:val="1"/>
        </w:numPr>
        <w:jc w:val="center"/>
        <w:rPr>
          <w:rFonts w:ascii="Verdana" w:hAnsi="Verdana"/>
          <w:b/>
          <w:bCs/>
          <w:sz w:val="18"/>
          <w:szCs w:val="18"/>
        </w:rPr>
      </w:pPr>
      <w:r>
        <w:rPr>
          <w:rFonts w:ascii="Verdana" w:hAnsi="Verdana"/>
          <w:b/>
          <w:bCs/>
          <w:sz w:val="18"/>
          <w:szCs w:val="18"/>
        </w:rPr>
        <w:t>ΜΗΝΑΚΗΣ ΓΕΩΡΓΙΟΣ</w:t>
      </w:r>
    </w:p>
    <w:p w14:paraId="6F3C5B4E" w14:textId="77777777" w:rsidR="00863143" w:rsidRDefault="00863143">
      <w:pPr>
        <w:jc w:val="center"/>
        <w:rPr>
          <w:rFonts w:ascii="Verdana" w:hAnsi="Verdana"/>
          <w:b/>
          <w:bCs/>
          <w:sz w:val="18"/>
          <w:szCs w:val="18"/>
        </w:rPr>
      </w:pPr>
    </w:p>
    <w:p w14:paraId="79879F51" w14:textId="77777777" w:rsidR="00863143" w:rsidRDefault="00863143">
      <w:pPr>
        <w:jc w:val="center"/>
        <w:rPr>
          <w:rFonts w:ascii="Verdana" w:hAnsi="Verdana"/>
          <w:b/>
          <w:bCs/>
          <w:sz w:val="18"/>
          <w:szCs w:val="18"/>
        </w:rPr>
      </w:pPr>
    </w:p>
    <w:p w14:paraId="62F7DA7D" w14:textId="77777777" w:rsidR="00863143" w:rsidRDefault="00863143">
      <w:pPr>
        <w:jc w:val="center"/>
        <w:rPr>
          <w:rFonts w:ascii="Verdana" w:hAnsi="Verdana"/>
          <w:b/>
          <w:bCs/>
          <w:sz w:val="18"/>
          <w:szCs w:val="18"/>
        </w:rPr>
      </w:pPr>
    </w:p>
    <w:p w14:paraId="5985D52F" w14:textId="77777777" w:rsidR="00863143" w:rsidRDefault="00863143">
      <w:pPr>
        <w:jc w:val="center"/>
        <w:rPr>
          <w:rFonts w:ascii="Verdana" w:hAnsi="Verdana"/>
          <w:b/>
          <w:bCs/>
          <w:sz w:val="18"/>
          <w:szCs w:val="18"/>
        </w:rPr>
      </w:pPr>
    </w:p>
    <w:p w14:paraId="7E505BDD" w14:textId="77777777" w:rsidR="00863143" w:rsidRDefault="00863143">
      <w:pPr>
        <w:rPr>
          <w:rFonts w:ascii="Verdana" w:hAnsi="Verdana"/>
          <w:b/>
          <w:bCs/>
          <w:sz w:val="18"/>
          <w:szCs w:val="18"/>
        </w:rPr>
      </w:pPr>
    </w:p>
    <w:p w14:paraId="6BE12DC9" w14:textId="77777777" w:rsidR="00863143" w:rsidRDefault="00000000">
      <w:pPr>
        <w:pStyle w:val="ad"/>
        <w:numPr>
          <w:ilvl w:val="0"/>
          <w:numId w:val="1"/>
        </w:numPr>
        <w:jc w:val="center"/>
        <w:rPr>
          <w:rFonts w:ascii="Verdana" w:hAnsi="Verdana"/>
          <w:b/>
          <w:bCs/>
          <w:sz w:val="18"/>
          <w:szCs w:val="18"/>
        </w:rPr>
      </w:pPr>
      <w:r>
        <w:rPr>
          <w:rFonts w:ascii="Verdana" w:hAnsi="Verdana"/>
          <w:b/>
          <w:bCs/>
          <w:sz w:val="18"/>
          <w:szCs w:val="18"/>
        </w:rPr>
        <w:t xml:space="preserve"> </w:t>
      </w:r>
      <w:r>
        <w:rPr>
          <w:rFonts w:ascii="Verdana" w:hAnsi="Verdana"/>
          <w:b/>
          <w:bCs/>
          <w:sz w:val="20"/>
          <w:szCs w:val="20"/>
        </w:rPr>
        <w:t>ΚΑΡΑΤΖΑΣ ΑΛΕΞΑΝΔΡΟΣ</w:t>
      </w:r>
    </w:p>
    <w:p w14:paraId="38A665A4" w14:textId="77777777" w:rsidR="00863143" w:rsidRDefault="00863143">
      <w:pPr>
        <w:jc w:val="center"/>
        <w:rPr>
          <w:rFonts w:ascii="Verdana" w:hAnsi="Verdana"/>
          <w:b/>
          <w:bCs/>
          <w:sz w:val="18"/>
          <w:szCs w:val="18"/>
        </w:rPr>
      </w:pPr>
    </w:p>
    <w:p w14:paraId="62961486" w14:textId="77777777" w:rsidR="00863143" w:rsidRDefault="00863143">
      <w:pPr>
        <w:jc w:val="center"/>
        <w:rPr>
          <w:rFonts w:ascii="Verdana" w:hAnsi="Verdana"/>
          <w:b/>
          <w:bCs/>
          <w:sz w:val="18"/>
          <w:szCs w:val="18"/>
        </w:rPr>
      </w:pPr>
    </w:p>
    <w:p w14:paraId="329E519D" w14:textId="77777777" w:rsidR="00863143" w:rsidRDefault="00863143">
      <w:pPr>
        <w:jc w:val="center"/>
        <w:rPr>
          <w:rFonts w:ascii="Verdana" w:hAnsi="Verdana"/>
          <w:b/>
          <w:bCs/>
          <w:sz w:val="18"/>
          <w:szCs w:val="18"/>
        </w:rPr>
      </w:pPr>
    </w:p>
    <w:p w14:paraId="7EADD451" w14:textId="77777777" w:rsidR="00863143" w:rsidRDefault="00863143">
      <w:pPr>
        <w:jc w:val="center"/>
        <w:rPr>
          <w:rFonts w:ascii="Verdana" w:hAnsi="Verdana"/>
          <w:b/>
          <w:bCs/>
          <w:sz w:val="18"/>
          <w:szCs w:val="18"/>
        </w:rPr>
      </w:pPr>
    </w:p>
    <w:p w14:paraId="6DB710EC" w14:textId="77777777" w:rsidR="00863143" w:rsidRDefault="00863143">
      <w:pPr>
        <w:jc w:val="center"/>
        <w:rPr>
          <w:rFonts w:ascii="Verdana" w:hAnsi="Verdana"/>
          <w:b/>
          <w:bCs/>
          <w:sz w:val="18"/>
          <w:szCs w:val="18"/>
        </w:rPr>
      </w:pPr>
    </w:p>
    <w:p w14:paraId="23112459" w14:textId="77777777" w:rsidR="00863143" w:rsidRDefault="00000000">
      <w:pPr>
        <w:pStyle w:val="ad"/>
        <w:numPr>
          <w:ilvl w:val="0"/>
          <w:numId w:val="1"/>
        </w:numPr>
        <w:ind w:left="4395"/>
        <w:rPr>
          <w:rFonts w:ascii="Verdana" w:hAnsi="Verdana"/>
          <w:b/>
          <w:bCs/>
          <w:sz w:val="18"/>
          <w:szCs w:val="18"/>
        </w:rPr>
      </w:pPr>
      <w:r>
        <w:rPr>
          <w:rFonts w:ascii="Verdana" w:hAnsi="Verdana"/>
          <w:b/>
          <w:bCs/>
          <w:sz w:val="18"/>
          <w:szCs w:val="18"/>
        </w:rPr>
        <w:t>ΠΑΡΑΓΙΟΣ ΒΑΣΙΛΕΙΟΣ</w:t>
      </w:r>
    </w:p>
    <w:sectPr w:rsidR="00863143">
      <w:footerReference w:type="even" r:id="rId14"/>
      <w:footerReference w:type="default" r:id="rId15"/>
      <w:footerReference w:type="first" r:id="rId16"/>
      <w:pgSz w:w="11906" w:h="16838"/>
      <w:pgMar w:top="709" w:right="707" w:bottom="1276" w:left="709"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A515B" w14:textId="77777777" w:rsidR="005D6193" w:rsidRDefault="005D6193">
      <w:r>
        <w:separator/>
      </w:r>
    </w:p>
  </w:endnote>
  <w:endnote w:type="continuationSeparator" w:id="0">
    <w:p w14:paraId="6504C097" w14:textId="77777777" w:rsidR="005D6193" w:rsidRDefault="005D6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Calibri"/>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FC0B9" w14:textId="77777777" w:rsidR="00863143" w:rsidRDefault="00000000">
    <w:pPr>
      <w:pStyle w:val="a3"/>
      <w:ind w:right="360"/>
    </w:pPr>
    <w:r>
      <w:rPr>
        <w:noProof/>
      </w:rPr>
      <mc:AlternateContent>
        <mc:Choice Requires="wps">
          <w:drawing>
            <wp:anchor distT="0" distB="0" distL="0" distR="0" simplePos="0" relativeHeight="251658240" behindDoc="0" locked="0" layoutInCell="1" allowOverlap="1" wp14:anchorId="30EEE189" wp14:editId="574F097A">
              <wp:simplePos x="0" y="0"/>
              <wp:positionH relativeFrom="margin">
                <wp:align>right</wp:align>
              </wp:positionH>
              <wp:positionV relativeFrom="paragraph">
                <wp:posOffset>635</wp:posOffset>
              </wp:positionV>
              <wp:extent cx="14605" cy="14605"/>
              <wp:effectExtent l="0" t="0" r="0" b="0"/>
              <wp:wrapSquare wrapText="bothSides"/>
              <wp:docPr id="7" name="Πλαίσιο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3CFF86E0" w14:textId="77777777" w:rsidR="00863143" w:rsidRDefault="00000000">
                          <w:pPr>
                            <w:pStyle w:val="a3"/>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wps:txbx>
                    <wps:bodyPr lIns="0" tIns="0" rIns="0" bIns="0" anchor="t">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Style21"/>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AE73A" w14:textId="77777777" w:rsidR="00863143" w:rsidRDefault="00863143">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E762" w14:textId="77777777" w:rsidR="00863143" w:rsidRDefault="0086314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84B07" w14:textId="77777777" w:rsidR="005D6193" w:rsidRDefault="005D6193">
      <w:r>
        <w:separator/>
      </w:r>
    </w:p>
  </w:footnote>
  <w:footnote w:type="continuationSeparator" w:id="0">
    <w:p w14:paraId="1233E3AE" w14:textId="77777777" w:rsidR="005D6193" w:rsidRDefault="005D61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91A35"/>
    <w:multiLevelType w:val="multilevel"/>
    <w:tmpl w:val="16900B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51D35AD4"/>
    <w:multiLevelType w:val="multilevel"/>
    <w:tmpl w:val="8C8A26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74804807">
    <w:abstractNumId w:val="0"/>
  </w:num>
  <w:num w:numId="2" w16cid:durableId="836111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143"/>
    <w:rsid w:val="005D6193"/>
    <w:rsid w:val="00863143"/>
    <w:rsid w:val="00B7605F"/>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68B7"/>
  <w15:docId w15:val="{58376B35-0644-4744-AC1A-1D13DB3E9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16C"/>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Υποσέλιδο Char"/>
    <w:basedOn w:val="a0"/>
    <w:link w:val="a3"/>
    <w:qFormat/>
    <w:rsid w:val="0038116C"/>
    <w:rPr>
      <w:rFonts w:ascii="Times New Roman" w:eastAsia="Times New Roman" w:hAnsi="Times New Roman" w:cs="Times New Roman"/>
      <w:sz w:val="24"/>
      <w:szCs w:val="24"/>
      <w:lang w:eastAsia="el-GR"/>
    </w:rPr>
  </w:style>
  <w:style w:type="character" w:styleId="a4">
    <w:name w:val="page number"/>
    <w:basedOn w:val="a0"/>
    <w:qFormat/>
    <w:rsid w:val="0038116C"/>
  </w:style>
  <w:style w:type="character" w:customStyle="1" w:styleId="fontstyle01">
    <w:name w:val="fontstyle01"/>
    <w:qFormat/>
    <w:rsid w:val="0038116C"/>
    <w:rPr>
      <w:rFonts w:ascii="Calibri" w:hAnsi="Calibri"/>
      <w:b w:val="0"/>
      <w:bCs w:val="0"/>
      <w:i/>
      <w:iCs/>
      <w:color w:val="000000"/>
      <w:sz w:val="24"/>
      <w:szCs w:val="24"/>
    </w:rPr>
  </w:style>
  <w:style w:type="character" w:styleId="a5">
    <w:name w:val="Strong"/>
    <w:basedOn w:val="a0"/>
    <w:uiPriority w:val="22"/>
    <w:qFormat/>
    <w:rsid w:val="007E1ED8"/>
    <w:rPr>
      <w:b/>
      <w:bCs/>
    </w:rPr>
  </w:style>
  <w:style w:type="character" w:styleId="-">
    <w:name w:val="Hyperlink"/>
    <w:basedOn w:val="a0"/>
    <w:uiPriority w:val="99"/>
    <w:semiHidden/>
    <w:unhideWhenUsed/>
    <w:rsid w:val="007E1ED8"/>
    <w:rPr>
      <w:color w:val="0000FF"/>
      <w:u w:val="single"/>
    </w:rPr>
  </w:style>
  <w:style w:type="paragraph" w:customStyle="1" w:styleId="a6">
    <w:name w:val="Επικεφαλίδα"/>
    <w:basedOn w:val="a"/>
    <w:next w:val="a7"/>
    <w:qFormat/>
    <w:pPr>
      <w:keepNext/>
      <w:spacing w:before="240" w:after="120"/>
    </w:pPr>
    <w:rPr>
      <w:rFonts w:ascii="Liberation Sans" w:eastAsia="Microsoft YaHei"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rPr>
  </w:style>
  <w:style w:type="paragraph" w:customStyle="1" w:styleId="aa">
    <w:name w:val="Ευρετήριο"/>
    <w:basedOn w:val="a"/>
    <w:qFormat/>
    <w:pPr>
      <w:suppressLineNumbers/>
    </w:pPr>
    <w:rPr>
      <w:rFonts w:cs="Lucida Sans"/>
      <w:lang/>
    </w:rPr>
  </w:style>
  <w:style w:type="paragraph" w:customStyle="1" w:styleId="ab">
    <w:name w:val="Κεφαλίδα και υποσέλιδο"/>
    <w:basedOn w:val="a"/>
    <w:qFormat/>
  </w:style>
  <w:style w:type="paragraph" w:styleId="a3">
    <w:name w:val="footer"/>
    <w:basedOn w:val="a"/>
    <w:link w:val="Char"/>
    <w:rsid w:val="0038116C"/>
    <w:pPr>
      <w:tabs>
        <w:tab w:val="center" w:pos="4153"/>
        <w:tab w:val="right" w:pos="8306"/>
      </w:tabs>
    </w:pPr>
  </w:style>
  <w:style w:type="paragraph" w:styleId="Web">
    <w:name w:val="Normal (Web)"/>
    <w:basedOn w:val="a"/>
    <w:uiPriority w:val="99"/>
    <w:semiHidden/>
    <w:unhideWhenUsed/>
    <w:qFormat/>
    <w:rsid w:val="005B16B8"/>
    <w:pPr>
      <w:spacing w:beforeAutospacing="1" w:afterAutospacing="1"/>
    </w:pPr>
  </w:style>
  <w:style w:type="paragraph" w:styleId="ac">
    <w:name w:val="No Spacing"/>
    <w:uiPriority w:val="1"/>
    <w:qFormat/>
    <w:rsid w:val="005B16B8"/>
    <w:rPr>
      <w:rFonts w:ascii="Times New Roman" w:eastAsia="Times New Roman" w:hAnsi="Times New Roman" w:cs="Times New Roman"/>
      <w:sz w:val="24"/>
      <w:szCs w:val="24"/>
      <w:lang w:eastAsia="el-GR"/>
    </w:rPr>
  </w:style>
  <w:style w:type="paragraph" w:styleId="ad">
    <w:name w:val="List Paragraph"/>
    <w:basedOn w:val="a"/>
    <w:uiPriority w:val="34"/>
    <w:qFormat/>
    <w:rsid w:val="00B62D18"/>
    <w:pPr>
      <w:ind w:left="720"/>
      <w:contextualSpacing/>
    </w:pPr>
  </w:style>
  <w:style w:type="paragraph" w:customStyle="1" w:styleId="ae">
    <w:name w:val="Περιεχόμενα πλαισίου"/>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s://4412.gr/blog/laws/&#940;&#961;&#952;&#961;&#959;-104-&#967;&#961;&#972;&#957;&#959;&#962;-&#960;&#945;&#961;&#940;&#948;&#959;&#963;&#951;&#962;-&#965;&#955;&#953;&#954;&#974;&#957;-&#964;&#961;&#959;&#960;&#959;-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dimosnet.gr/index.php/blog/laws/&#940;&#961;&#952;&#961;&#959;-206-&#967;&#961;&#972;&#957;&#959;&#962;-&#960;&#945;&#961;&#940;&#948;&#959;&#963;&#951;&#962;-&#965;&#955;&#953;&#954;&#974;&#95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mosnet.gr/index.php/blog/laws/&#940;&#961;&#952;&#961;&#959;-206-&#967;&#961;&#972;&#957;&#959;&#962;-&#960;&#945;&#961;&#940;&#948;&#959;&#963;&#951;&#962;-&#965;&#955;&#953;&#954;&#974;&#95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dimosnet.gr/index.php/blog/laws/&#940;&#961;&#952;&#961;&#959;-206-&#967;&#961;&#972;&#957;&#959;&#962;-&#960;&#945;&#961;&#940;&#948;&#959;&#963;&#951;&#962;-&#965;&#955;&#953;&#954;&#974;&#957;/" TargetMode="External"/><Relationship Id="rId4" Type="http://schemas.openxmlformats.org/officeDocument/2006/relationships/webSettings" Target="webSettings.xml"/><Relationship Id="rId9" Type="http://schemas.openxmlformats.org/officeDocument/2006/relationships/hyperlink" Target="https://4412.gr/blog/laws/&#940;&#961;&#952;&#961;&#959;-132-&#964;&#961;&#959;&#960;&#959;&#960;&#959;&#943;&#951;&#963;&#951;-&#963;&#965;&#956;&#946;&#940;&#963;&#949;&#969;&#957;-&#954;&#945;&#964;&#940;-&#964;&#951;/" TargetMode="External"/><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932</Words>
  <Characters>5039</Characters>
  <Application>Microsoft Office Word</Application>
  <DocSecurity>0</DocSecurity>
  <Lines>41</Lines>
  <Paragraphs>11</Paragraphs>
  <ScaleCrop>false</ScaleCrop>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Spyridon Kretsis</dc:creator>
  <dc:description/>
  <cp:lastModifiedBy>Eudoxia Litou</cp:lastModifiedBy>
  <cp:revision>2</cp:revision>
  <cp:lastPrinted>2024-01-23T12:35:00Z</cp:lastPrinted>
  <dcterms:created xsi:type="dcterms:W3CDTF">2024-01-25T14:28:00Z</dcterms:created>
  <dcterms:modified xsi:type="dcterms:W3CDTF">2024-01-25T14:28:00Z</dcterms:modified>
  <dc:language>el-GR</dc:language>
</cp:coreProperties>
</file>